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0" w:rsidRDefault="00915530" w:rsidP="00915530">
      <w:pPr>
        <w:autoSpaceDE w:val="0"/>
        <w:autoSpaceDN w:val="0"/>
        <w:adjustRightInd w:val="0"/>
        <w:jc w:val="both"/>
        <w:outlineLvl w:val="0"/>
      </w:pPr>
      <w:r>
        <w:t>Памятка</w:t>
      </w:r>
    </w:p>
    <w:p w:rsidR="00915530" w:rsidRPr="00915530" w:rsidRDefault="00915530" w:rsidP="00915530">
      <w:pPr>
        <w:rPr>
          <w:rFonts w:ascii="Verdana" w:hAnsi="Verdana"/>
          <w:b/>
        </w:rPr>
      </w:pPr>
      <w:r w:rsidRPr="00915530">
        <w:rPr>
          <w:rFonts w:ascii="Verdana" w:hAnsi="Verdana"/>
          <w:b/>
        </w:rPr>
        <w:t xml:space="preserve">К Всемирному дню борьбы с туберкулезом 24 марта 2014г </w:t>
      </w:r>
    </w:p>
    <w:p w:rsidR="00915530" w:rsidRPr="00915530" w:rsidRDefault="00915530" w:rsidP="00915530">
      <w:pPr>
        <w:rPr>
          <w:rFonts w:ascii="Verdana" w:hAnsi="Verdana"/>
          <w:b/>
        </w:rPr>
      </w:pPr>
      <w:r w:rsidRPr="00915530">
        <w:rPr>
          <w:rFonts w:ascii="Verdana" w:hAnsi="Verdana"/>
          <w:b/>
        </w:rPr>
        <w:t>Что  такое реакция Манту?</w:t>
      </w:r>
    </w:p>
    <w:p w:rsidR="00915530" w:rsidRDefault="00915530" w:rsidP="00915530">
      <w:pPr>
        <w:pStyle w:val="a3"/>
        <w:spacing w:before="0" w:beforeAutospacing="0" w:after="0" w:afterAutospacing="0"/>
        <w:ind w:left="-907" w:right="-283"/>
        <w:jc w:val="both"/>
        <w:rPr>
          <w:color w:val="000000"/>
        </w:rPr>
      </w:pPr>
      <w:r>
        <w:rPr>
          <w:color w:val="000000"/>
        </w:rPr>
        <w:t xml:space="preserve">Реакция Манту - это основной метод профилактического обследования детей на туберкулёз, иммунологический тест, который показывает, есть ли в организме туберкулёзная инфекция. </w:t>
      </w:r>
      <w:r>
        <w:t>Основные задачи при проведении реакции Манту – это своевременное обнаружение туберкулеза у детей и подростков; выявление детей, подлежащих вакцинации и ревакцинации.</w:t>
      </w:r>
      <w:r>
        <w:rPr>
          <w:rStyle w:val="a4"/>
          <w:color w:val="000000"/>
        </w:rPr>
        <w:t xml:space="preserve"> 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>Реакция Манту – это реакция организма на введение туберкулина. В месте введения препарата в кожу возникает специфическое воспаление, вызванное инфильтрацией лимфоцитами – специфическими клетками крови, ответственными за клеточный иммунитет</w:t>
      </w:r>
      <w:proofErr w:type="gramStart"/>
      <w:r>
        <w:rPr>
          <w:color w:val="000000"/>
        </w:rPr>
        <w:t xml:space="preserve"> .</w:t>
      </w:r>
      <w:proofErr w:type="gramEnd"/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Если организм уже имел шанс «познакомится» с настоящей микобактерией туберкулёза, то таких лимфоцитов будет больше, воспаление интенсивнее, а реакция будет «положительной» (есть инфицирование палочкой Коха). 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Неправильное обращение с местом постановки пробы может повлиять на результат реакции, а это не нужно ни пациенту, ни врачу. До момента оценки результатов не надо мазать пуговку зеленкой, перекисью. Очень важно не допускать контакта места пробы с водой и другими жидкостями. Не нужно заклеивать ранку лейкопластырем – под ним кожа может потеть. Не допускайте того, чтобы ребенок расчесывал место введения туберкулина. </w:t>
      </w:r>
    </w:p>
    <w:p w:rsidR="00915530" w:rsidRDefault="00915530" w:rsidP="00915530">
      <w:pPr>
        <w:ind w:left="-907" w:right="-283"/>
        <w:outlineLvl w:val="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Что может повлиять на реакцию Манту?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Реакция организма на туберкулин является одной из разновидностей аллергии. Именно поэтому имеющиеся аллергические заболевания могут влиять на результат пробы Манту - это и пищевая или медикаментозная аллергия, и аллергический дерматит. На результат реакции могут влиять недавно перенесенные инфекции, хроническая патология, возраст, индивидуальные характеристики чувствительности кожи, фаза менструального цикла у девушек, сбалансированность питания ребенка. Наличие гельминтов  способствуют положительной реакции Манту. </w:t>
      </w:r>
    </w:p>
    <w:p w:rsidR="00915530" w:rsidRDefault="00915530" w:rsidP="00915530">
      <w:pPr>
        <w:ind w:left="-907" w:right="-283"/>
        <w:outlineLvl w:val="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Противопоказания к проведению пробы Манту:</w:t>
      </w:r>
    </w:p>
    <w:p w:rsidR="00915530" w:rsidRDefault="00915530" w:rsidP="00915530">
      <w:pPr>
        <w:numPr>
          <w:ilvl w:val="0"/>
          <w:numId w:val="1"/>
        </w:numPr>
        <w:ind w:left="-907" w:right="-283"/>
        <w:rPr>
          <w:color w:val="000000"/>
        </w:rPr>
      </w:pPr>
      <w:r>
        <w:rPr>
          <w:color w:val="000000"/>
        </w:rPr>
        <w:t xml:space="preserve">кожные заболевания </w:t>
      </w:r>
    </w:p>
    <w:p w:rsidR="00915530" w:rsidRDefault="00915530" w:rsidP="00915530">
      <w:pPr>
        <w:numPr>
          <w:ilvl w:val="0"/>
          <w:numId w:val="1"/>
        </w:numPr>
        <w:ind w:left="-907" w:right="-283"/>
        <w:rPr>
          <w:color w:val="000000"/>
        </w:rPr>
      </w:pPr>
      <w:r>
        <w:rPr>
          <w:color w:val="000000"/>
        </w:rPr>
        <w:t xml:space="preserve">острые и хронические инфекционные и соматические заболевания в стадии обострения (проба Манту ставится через 1 месяц после исчезновения всех клинических симптомов или сразу после снятия карантина) </w:t>
      </w:r>
    </w:p>
    <w:p w:rsidR="00915530" w:rsidRDefault="00915530" w:rsidP="00915530">
      <w:pPr>
        <w:numPr>
          <w:ilvl w:val="0"/>
          <w:numId w:val="1"/>
        </w:numPr>
        <w:ind w:left="-907" w:right="-283"/>
        <w:rPr>
          <w:color w:val="000000"/>
        </w:rPr>
      </w:pPr>
      <w:r>
        <w:rPr>
          <w:color w:val="000000"/>
        </w:rPr>
        <w:t xml:space="preserve">аллергические состояния </w:t>
      </w:r>
    </w:p>
    <w:p w:rsidR="00915530" w:rsidRDefault="00915530" w:rsidP="00915530">
      <w:pPr>
        <w:numPr>
          <w:ilvl w:val="0"/>
          <w:numId w:val="1"/>
        </w:numPr>
        <w:ind w:left="-907" w:right="-283"/>
        <w:rPr>
          <w:color w:val="000000"/>
        </w:rPr>
      </w:pPr>
      <w:r>
        <w:rPr>
          <w:color w:val="000000"/>
        </w:rPr>
        <w:t xml:space="preserve">эпилепсия. </w:t>
      </w:r>
    </w:p>
    <w:p w:rsidR="00915530" w:rsidRDefault="00915530" w:rsidP="00915530">
      <w:pPr>
        <w:ind w:left="-907" w:right="-283"/>
        <w:outlineLvl w:val="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Оценка результатов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После введения туберкулина, на 2-3 день образуется специфическое уплотнение кожи. Чем больше в организме знающих о туберкулёзной палочке иммунных клеток, тем больше будет размер уплотнения. Результат пробы Манту оценивают через 72 часа 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>Реакция считается:</w:t>
      </w:r>
    </w:p>
    <w:p w:rsidR="00915530" w:rsidRDefault="00915530" w:rsidP="00915530">
      <w:pPr>
        <w:numPr>
          <w:ilvl w:val="0"/>
          <w:numId w:val="2"/>
        </w:numPr>
        <w:ind w:left="-907" w:right="-283"/>
        <w:rPr>
          <w:color w:val="000000"/>
        </w:rPr>
      </w:pPr>
      <w:r>
        <w:rPr>
          <w:color w:val="000000"/>
        </w:rPr>
        <w:t xml:space="preserve">-отрицательной - при полном отсутствии уплотнения или при наличии только </w:t>
      </w:r>
      <w:proofErr w:type="spellStart"/>
      <w:r>
        <w:rPr>
          <w:color w:val="000000"/>
        </w:rPr>
        <w:t>уколочной</w:t>
      </w:r>
      <w:proofErr w:type="spellEnd"/>
      <w:r>
        <w:rPr>
          <w:color w:val="000000"/>
        </w:rPr>
        <w:t xml:space="preserve"> реакции</w:t>
      </w:r>
    </w:p>
    <w:p w:rsidR="00915530" w:rsidRDefault="00915530" w:rsidP="00915530">
      <w:pPr>
        <w:numPr>
          <w:ilvl w:val="0"/>
          <w:numId w:val="2"/>
        </w:numPr>
        <w:ind w:left="-907" w:right="-283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-сомнительной - при “пуговке” размером 2-</w:t>
      </w:r>
      <w:smartTag w:uri="urn:schemas-microsoft-com:office:smarttags" w:element="metricconverter">
        <w:smartTagPr>
          <w:attr w:name="ProductID" w:val="4 мм"/>
        </w:smartTagPr>
        <w:r>
          <w:rPr>
            <w:color w:val="000000"/>
          </w:rPr>
          <w:t>4 мм</w:t>
        </w:r>
      </w:smartTag>
      <w:r>
        <w:rPr>
          <w:color w:val="000000"/>
        </w:rPr>
        <w:t xml:space="preserve"> и при покраснении любого размера без уплотнения; </w:t>
      </w:r>
      <w:proofErr w:type="gramEnd"/>
    </w:p>
    <w:p w:rsidR="00915530" w:rsidRDefault="00915530" w:rsidP="00915530">
      <w:pPr>
        <w:numPr>
          <w:ilvl w:val="0"/>
          <w:numId w:val="2"/>
        </w:numPr>
        <w:ind w:left="-907" w:right="-283"/>
        <w:rPr>
          <w:color w:val="000000"/>
        </w:rPr>
      </w:pPr>
      <w:proofErr w:type="gramStart"/>
      <w:r>
        <w:rPr>
          <w:color w:val="000000"/>
        </w:rPr>
        <w:t>положительной</w:t>
      </w:r>
      <w:proofErr w:type="gramEnd"/>
      <w:r>
        <w:rPr>
          <w:color w:val="000000"/>
        </w:rPr>
        <w:t xml:space="preserve"> - при наличии выраженного уплотнения диаметром </w:t>
      </w:r>
      <w:smartTag w:uri="urn:schemas-microsoft-com:office:smarttags" w:element="metricconverter">
        <w:smartTagPr>
          <w:attr w:name="ProductID" w:val="5 мм"/>
        </w:smartTagPr>
        <w:r>
          <w:rPr>
            <w:color w:val="000000"/>
          </w:rPr>
          <w:t>5 мм</w:t>
        </w:r>
      </w:smartTag>
      <w:r>
        <w:rPr>
          <w:color w:val="000000"/>
        </w:rPr>
        <w:t xml:space="preserve"> и более. </w:t>
      </w:r>
    </w:p>
    <w:p w:rsidR="00915530" w:rsidRDefault="00915530" w:rsidP="00915530">
      <w:pPr>
        <w:ind w:left="-907" w:right="-283"/>
        <w:rPr>
          <w:color w:val="000000"/>
        </w:rPr>
      </w:pPr>
      <w:r>
        <w:rPr>
          <w:color w:val="000000"/>
        </w:rPr>
        <w:t xml:space="preserve">Сама  положительная реакция Манту не является 100-процентным доказательством наличия туберкулёза. </w:t>
      </w:r>
    </w:p>
    <w:p w:rsidR="00915530" w:rsidRDefault="00915530" w:rsidP="00915530">
      <w:pPr>
        <w:ind w:left="-907" w:right="-283"/>
        <w:outlineLvl w:val="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Если у вашего ребенка положительная проба Манту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>Если проба Манту показала положительный результат, то педиатр направит вас на консультацию фтизиатра. Необходимо исключить все влияющие факторы: вакцинация БЦЖ и другими вакцинами, недавняя инфекция, аллергия к компонентам туберкулина, аллергия неясной этиологии.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«Вираж» пробы Манту – изменение (увеличение) результата пробы диаметра папулы) по сравнению с прошлогодним результатом. </w:t>
      </w:r>
      <w:proofErr w:type="gramEnd"/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>Именно вираж заставляет врача думать о произошедшем в течение последнего года инфицировании</w:t>
      </w:r>
    </w:p>
    <w:p w:rsidR="00915530" w:rsidRDefault="00915530" w:rsidP="00915530">
      <w:pPr>
        <w:ind w:left="-907" w:right="-283"/>
        <w:outlineLvl w:val="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Если ставят на учет и назначают профилактическое лечение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>Дети и подростки с впервые выявленным инфицированием туберкулёзом обладают повышенным риском развития клинически выраженного туберкулёза - считается, что у 7-10% таких детей может развиться первичный туберкулёз со всей присущей симптоматикой. Поэтому такие дети подлежат наблюдению в противотуберкулёзном диспансере в течение года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lastRenderedPageBreak/>
        <w:t xml:space="preserve">Режим и методику химиотерапии определяют индивидуально с учетом факторов риска. 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Среди других методов диагностики туберкулёза </w:t>
      </w:r>
      <w:proofErr w:type="spellStart"/>
      <w:r>
        <w:rPr>
          <w:color w:val="000000"/>
        </w:rPr>
        <w:t>виспользуют</w:t>
      </w:r>
      <w:proofErr w:type="spellEnd"/>
      <w:r>
        <w:rPr>
          <w:color w:val="000000"/>
        </w:rPr>
        <w:t xml:space="preserve"> иммуноферментный анализ (ИФА), несущий информацию не о заболевании, а об инфицировании. ИФА выявляет антитела к микобактериям туберкулёза. </w:t>
      </w:r>
    </w:p>
    <w:p w:rsidR="00915530" w:rsidRDefault="00915530" w:rsidP="00915530">
      <w:pPr>
        <w:spacing w:line="270" w:lineRule="atLeast"/>
        <w:ind w:left="-907" w:right="-283"/>
        <w:rPr>
          <w:b/>
          <w:bCs/>
          <w:i/>
          <w:iCs/>
          <w:color w:val="000000"/>
        </w:rPr>
      </w:pPr>
      <w:r>
        <w:rPr>
          <w:color w:val="000000"/>
        </w:rPr>
        <w:t xml:space="preserve">Методика </w:t>
      </w:r>
      <w:proofErr w:type="spellStart"/>
      <w:r>
        <w:rPr>
          <w:color w:val="000000"/>
        </w:rPr>
        <w:t>полимеразной</w:t>
      </w:r>
      <w:proofErr w:type="spellEnd"/>
      <w:r>
        <w:rPr>
          <w:color w:val="000000"/>
        </w:rPr>
        <w:t xml:space="preserve"> цепной реакции (ПЦР) позволяет улучшить диагностику туберкулёза, сделать ее быстрой и дешевой, а также снимает сомнительные диагнозы при </w:t>
      </w:r>
      <w:proofErr w:type="spellStart"/>
      <w:r>
        <w:rPr>
          <w:color w:val="000000"/>
        </w:rPr>
        <w:t>гипердиагностике</w:t>
      </w:r>
      <w:proofErr w:type="spellEnd"/>
      <w:r>
        <w:rPr>
          <w:color w:val="000000"/>
        </w:rPr>
        <w:t xml:space="preserve">. 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>Случаи туберкулеза у детей, зарегистрированные в районе, были выявлены по реакции Манту.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Принимая во внимание стрессовый характер ситуации, в которой оказываются родители ребенка с диагнозом «первичное </w:t>
      </w:r>
      <w:proofErr w:type="spellStart"/>
      <w:r>
        <w:rPr>
          <w:color w:val="000000"/>
        </w:rPr>
        <w:t>тубинфицирование</w:t>
      </w:r>
      <w:proofErr w:type="spellEnd"/>
      <w:r>
        <w:rPr>
          <w:color w:val="000000"/>
        </w:rPr>
        <w:t xml:space="preserve">», призываем  вас </w:t>
      </w:r>
      <w:proofErr w:type="gramStart"/>
      <w:r>
        <w:rPr>
          <w:color w:val="000000"/>
        </w:rPr>
        <w:t>взвесить</w:t>
      </w:r>
      <w:proofErr w:type="gramEnd"/>
      <w:r>
        <w:rPr>
          <w:color w:val="000000"/>
        </w:rPr>
        <w:t xml:space="preserve"> все «за» и «против» отказа от профилактического лечения и диспансерного наблюдения у фтизиатра. </w:t>
      </w: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</w:p>
    <w:p w:rsidR="00915530" w:rsidRDefault="00915530" w:rsidP="00915530">
      <w:pPr>
        <w:spacing w:line="270" w:lineRule="atLeast"/>
        <w:ind w:left="-907" w:right="-283"/>
        <w:rPr>
          <w:color w:val="000000"/>
        </w:rPr>
      </w:pPr>
      <w:r>
        <w:rPr>
          <w:color w:val="000000"/>
        </w:rPr>
        <w:t xml:space="preserve">        Специалист ТО Управления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Ксенофонтова Н.В..</w:t>
      </w:r>
    </w:p>
    <w:p w:rsidR="00915530" w:rsidRPr="00073EE0" w:rsidRDefault="00915530" w:rsidP="00915530">
      <w:pPr>
        <w:autoSpaceDE w:val="0"/>
        <w:autoSpaceDN w:val="0"/>
        <w:adjustRightInd w:val="0"/>
        <w:jc w:val="both"/>
        <w:outlineLvl w:val="0"/>
      </w:pPr>
    </w:p>
    <w:p w:rsidR="00E47497" w:rsidRDefault="00E47497"/>
    <w:sectPr w:rsidR="00E47497" w:rsidSect="007874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965"/>
    <w:multiLevelType w:val="multilevel"/>
    <w:tmpl w:val="734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07420"/>
    <w:multiLevelType w:val="multilevel"/>
    <w:tmpl w:val="A4A2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30"/>
    <w:rsid w:val="00915530"/>
    <w:rsid w:val="00B85A03"/>
    <w:rsid w:val="00E47497"/>
    <w:rsid w:val="00F25EC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3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53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15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Борисовна</dc:creator>
  <cp:lastModifiedBy>Альбина Борисовна</cp:lastModifiedBy>
  <cp:revision>1</cp:revision>
  <dcterms:created xsi:type="dcterms:W3CDTF">2014-03-21T11:14:00Z</dcterms:created>
  <dcterms:modified xsi:type="dcterms:W3CDTF">2014-03-21T11:23:00Z</dcterms:modified>
</cp:coreProperties>
</file>